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27.02.2022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 результатам медосмотра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со статьями 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220</w:t>
      </w:r>
      <w:r>
        <w:rPr>
          <w:rFonts w:hAnsi="Times New Roman" w:cs="Times New Roman"/>
          <w:color w:val="000000"/>
          <w:sz w:val="24"/>
          <w:szCs w:val="24"/>
        </w:rPr>
        <w:t xml:space="preserve"> ТК,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от 28.01.2021 № 29н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220 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 основании медицинских рекомендаций, указанных в заключениях по медосмотру работников, и заключительного акта от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допустить к работе работников согласно списку (</w:t>
      </w:r>
      <w:r>
        <w:rPr>
          <w:rFonts w:hAnsi="Times New Roman" w:cs="Times New Roman"/>
          <w:color w:val="000000"/>
          <w:sz w:val="24"/>
          <w:szCs w:val="24"/>
        </w:rPr>
        <w:t>приложение № 1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 На основании медицинских рекомендаций, указанных в заключениях по медосмотру работников, и заключительного акта от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отстранить от работы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ознакомить работников с приказом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за исполнением настоящего приказа оставляю за собой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1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27.02.2022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Список допущенных к работе работников по итогам медицинского смотра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структурного подразделения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1997abc441f484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